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4966"/>
        <w:gridCol w:w="2619"/>
      </w:tblGrid>
      <w:tr w:rsidR="00193FF9" w:rsidRPr="00193FF9" w:rsidTr="00193FF9">
        <w:tc>
          <w:tcPr>
            <w:tcW w:w="1283" w:type="pct"/>
            <w:vAlign w:val="center"/>
          </w:tcPr>
          <w:p w:rsidR="00193FF9" w:rsidRPr="00193FF9" w:rsidRDefault="00193FF9" w:rsidP="00193FF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3FF9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38175" cy="71974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DEN 9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77" cy="72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pct"/>
            <w:vAlign w:val="center"/>
          </w:tcPr>
          <w:p w:rsidR="00193FF9" w:rsidRPr="00193FF9" w:rsidRDefault="00193FF9" w:rsidP="00193FF9">
            <w:pPr>
              <w:pStyle w:val="Sansinterligne"/>
              <w:jc w:val="center"/>
              <w:rPr>
                <w:rFonts w:asciiTheme="minorHAnsi" w:hAnsiTheme="minorHAnsi" w:cstheme="minorHAnsi"/>
                <w:sz w:val="28"/>
                <w:szCs w:val="18"/>
              </w:rPr>
            </w:pPr>
            <w:r w:rsidRPr="00193FF9">
              <w:rPr>
                <w:rFonts w:asciiTheme="minorHAnsi" w:hAnsiTheme="minorHAnsi" w:cstheme="minorHAnsi"/>
                <w:b/>
                <w:sz w:val="28"/>
                <w:szCs w:val="18"/>
              </w:rPr>
              <w:t>Réunion MAT</w:t>
            </w:r>
            <w:r w:rsidRPr="00193FF9">
              <w:rPr>
                <w:rFonts w:asciiTheme="minorHAnsi" w:hAnsiTheme="minorHAnsi" w:cstheme="minorHAnsi"/>
                <w:b/>
                <w:sz w:val="28"/>
                <w:szCs w:val="18"/>
              </w:rPr>
              <w:t xml:space="preserve"> de M1</w:t>
            </w:r>
          </w:p>
          <w:p w:rsidR="00193FF9" w:rsidRPr="00193FF9" w:rsidRDefault="00193FF9" w:rsidP="00193FF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3FF9">
              <w:rPr>
                <w:rFonts w:asciiTheme="minorHAnsi" w:hAnsiTheme="minorHAnsi" w:cstheme="minorHAnsi"/>
                <w:b/>
                <w:sz w:val="28"/>
                <w:szCs w:val="18"/>
              </w:rPr>
              <w:t>Mercredi 21 novembre</w:t>
            </w:r>
            <w:r w:rsidRPr="00193FF9">
              <w:rPr>
                <w:rFonts w:asciiTheme="minorHAnsi" w:hAnsiTheme="minorHAnsi" w:cstheme="minorHAnsi"/>
                <w:b/>
                <w:sz w:val="28"/>
                <w:szCs w:val="18"/>
              </w:rPr>
              <w:t xml:space="preserve"> 2018</w:t>
            </w:r>
          </w:p>
        </w:tc>
        <w:tc>
          <w:tcPr>
            <w:tcW w:w="1283" w:type="pct"/>
            <w:vAlign w:val="center"/>
          </w:tcPr>
          <w:p w:rsidR="00193FF9" w:rsidRPr="00193FF9" w:rsidRDefault="00193FF9" w:rsidP="00193FF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3FF9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19150" cy="77655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 -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30" cy="78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FF9" w:rsidRPr="00193FF9" w:rsidRDefault="00193FF9">
      <w:pPr>
        <w:pStyle w:val="Sansinterligne"/>
        <w:rPr>
          <w:rFonts w:asciiTheme="minorHAnsi" w:hAnsiTheme="minorHAnsi" w:cstheme="minorHAnsi"/>
          <w:b/>
          <w:sz w:val="18"/>
          <w:szCs w:val="18"/>
        </w:rPr>
      </w:pPr>
    </w:p>
    <w:p w:rsidR="00193FF9" w:rsidRPr="00193FF9" w:rsidRDefault="00193FF9">
      <w:pPr>
        <w:pStyle w:val="Sansinterligne"/>
        <w:rPr>
          <w:rFonts w:asciiTheme="minorHAnsi" w:hAnsiTheme="minorHAnsi" w:cstheme="minorHAnsi"/>
          <w:b/>
          <w:sz w:val="18"/>
          <w:szCs w:val="18"/>
        </w:rPr>
      </w:pPr>
    </w:p>
    <w:p w:rsidR="00193FF9" w:rsidRPr="00193FF9" w:rsidRDefault="00193FF9">
      <w:pPr>
        <w:pStyle w:val="Sansinterligne"/>
        <w:rPr>
          <w:rFonts w:asciiTheme="minorHAnsi" w:hAnsiTheme="minorHAnsi" w:cstheme="minorHAnsi"/>
          <w:b/>
          <w:sz w:val="18"/>
          <w:szCs w:val="18"/>
        </w:rPr>
      </w:pPr>
    </w:p>
    <w:p w:rsidR="00193FF9" w:rsidRDefault="00193FF9">
      <w:pPr>
        <w:pStyle w:val="Sansinterligne"/>
        <w:rPr>
          <w:rFonts w:asciiTheme="minorHAnsi" w:hAnsiTheme="minorHAnsi" w:cstheme="minorHAnsi"/>
          <w:sz w:val="18"/>
          <w:szCs w:val="18"/>
          <w:u w:val="single"/>
        </w:rPr>
      </w:pPr>
      <w:r w:rsidRPr="00193FF9">
        <w:rPr>
          <w:rFonts w:asciiTheme="minorHAnsi" w:hAnsiTheme="minorHAnsi" w:cstheme="minorHAnsi"/>
          <w:sz w:val="18"/>
          <w:szCs w:val="18"/>
          <w:u w:val="single"/>
        </w:rPr>
        <w:t>Textes de référence</w:t>
      </w:r>
    </w:p>
    <w:p w:rsidR="00193FF9" w:rsidRPr="00193FF9" w:rsidRDefault="00193FF9">
      <w:pPr>
        <w:pStyle w:val="Sansinterligne"/>
        <w:rPr>
          <w:rFonts w:asciiTheme="minorHAnsi" w:hAnsiTheme="minorHAnsi" w:cstheme="minorHAnsi"/>
          <w:sz w:val="18"/>
          <w:szCs w:val="18"/>
          <w:u w:val="single"/>
        </w:rPr>
      </w:pPr>
    </w:p>
    <w:p w:rsidR="00193FF9" w:rsidRDefault="00193FF9" w:rsidP="00193FF9">
      <w:pPr>
        <w:pStyle w:val="Sansinterligne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 xml:space="preserve">Missions des PEMF et des MAT : </w:t>
      </w:r>
      <w:r>
        <w:rPr>
          <w:rFonts w:asciiTheme="minorHAnsi" w:hAnsiTheme="minorHAnsi" w:cstheme="minorHAnsi"/>
          <w:bCs/>
          <w:sz w:val="18"/>
          <w:szCs w:val="18"/>
        </w:rPr>
        <w:t>BO</w:t>
      </w:r>
      <w:r w:rsidRPr="00193FF9">
        <w:rPr>
          <w:rFonts w:asciiTheme="minorHAnsi" w:hAnsiTheme="minorHAnsi" w:cstheme="minorHAnsi"/>
          <w:bCs/>
          <w:sz w:val="18"/>
          <w:szCs w:val="18"/>
        </w:rPr>
        <w:t xml:space="preserve"> n° 29 du 22 juillet 2010</w:t>
      </w:r>
      <w:r w:rsidRPr="00193FF9">
        <w:rPr>
          <w:rStyle w:val="nornature"/>
          <w:rFonts w:asciiTheme="minorHAnsi" w:hAnsiTheme="minorHAnsi" w:cstheme="minorHAnsi"/>
          <w:color w:val="000000"/>
          <w:sz w:val="18"/>
          <w:szCs w:val="18"/>
        </w:rPr>
        <w:t>circulaire n° 2010-104 du 13-7-2010</w:t>
      </w:r>
    </w:p>
    <w:p w:rsidR="00193FF9" w:rsidRPr="00193FF9" w:rsidRDefault="00193FF9" w:rsidP="00193FF9">
      <w:pPr>
        <w:pStyle w:val="Sansinterligne"/>
        <w:ind w:left="360"/>
        <w:jc w:val="both"/>
        <w:rPr>
          <w:rFonts w:asciiTheme="minorHAnsi" w:hAnsiTheme="minorHAnsi" w:cstheme="minorHAnsi"/>
          <w:sz w:val="18"/>
          <w:szCs w:val="18"/>
        </w:rPr>
      </w:pPr>
      <w:hyperlink r:id="rId9">
        <w:r w:rsidRPr="00193FF9">
          <w:rPr>
            <w:rStyle w:val="LienInternet"/>
            <w:rFonts w:asciiTheme="minorHAnsi" w:hAnsiTheme="minorHAnsi" w:cstheme="minorHAnsi"/>
            <w:sz w:val="18"/>
            <w:szCs w:val="18"/>
          </w:rPr>
          <w:t>http://www.education.gouv.fr/</w:t>
        </w:r>
        <w:r w:rsidRPr="00193FF9">
          <w:rPr>
            <w:rStyle w:val="LienInternet"/>
            <w:rFonts w:asciiTheme="minorHAnsi" w:hAnsiTheme="minorHAnsi" w:cstheme="minorHAnsi"/>
            <w:sz w:val="18"/>
            <w:szCs w:val="18"/>
          </w:rPr>
          <w:t>c</w:t>
        </w:r>
        <w:r w:rsidRPr="00193FF9">
          <w:rPr>
            <w:rStyle w:val="LienInternet"/>
            <w:rFonts w:asciiTheme="minorHAnsi" w:hAnsiTheme="minorHAnsi" w:cstheme="minorHAnsi"/>
            <w:sz w:val="18"/>
            <w:szCs w:val="18"/>
          </w:rPr>
          <w:t>id52620/mene1013103c.</w:t>
        </w:r>
        <w:r w:rsidRPr="00193FF9">
          <w:rPr>
            <w:rStyle w:val="LienInternet"/>
            <w:rFonts w:asciiTheme="minorHAnsi" w:hAnsiTheme="minorHAnsi" w:cstheme="minorHAnsi"/>
            <w:sz w:val="18"/>
            <w:szCs w:val="18"/>
          </w:rPr>
          <w:t>h</w:t>
        </w:r>
        <w:r w:rsidRPr="00193FF9">
          <w:rPr>
            <w:rStyle w:val="LienInternet"/>
            <w:rFonts w:asciiTheme="minorHAnsi" w:hAnsiTheme="minorHAnsi" w:cstheme="minorHAnsi"/>
            <w:sz w:val="18"/>
            <w:szCs w:val="18"/>
          </w:rPr>
          <w:t>tml</w:t>
        </w:r>
      </w:hyperlink>
      <w:r w:rsidRPr="00193FF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93FF9" w:rsidRPr="00193FF9" w:rsidRDefault="00193FF9" w:rsidP="00193FF9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193FF9" w:rsidRDefault="00193FF9" w:rsidP="00193FF9">
      <w:pPr>
        <w:pStyle w:val="Sansinterligne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Référentiel de compétences des métiers du professorat et de l’éducation</w:t>
      </w:r>
      <w:r>
        <w:rPr>
          <w:rFonts w:asciiTheme="minorHAnsi" w:hAnsiTheme="minorHAnsi" w:cstheme="minorHAnsi"/>
          <w:sz w:val="18"/>
          <w:szCs w:val="18"/>
        </w:rPr>
        <w:t> :</w:t>
      </w:r>
      <w:r>
        <w:rPr>
          <w:rFonts w:asciiTheme="minorHAnsi" w:hAnsiTheme="minorHAnsi" w:cstheme="minorHAnsi"/>
          <w:sz w:val="18"/>
          <w:szCs w:val="18"/>
        </w:rPr>
        <w:t xml:space="preserve"> BO n°30 du 25 juillet 2013 - </w:t>
      </w:r>
      <w:r w:rsidRPr="00193FF9">
        <w:rPr>
          <w:rFonts w:asciiTheme="minorHAnsi" w:hAnsiTheme="minorHAnsi" w:cstheme="minorHAnsi"/>
          <w:sz w:val="18"/>
          <w:szCs w:val="18"/>
        </w:rPr>
        <w:t>arrêté du 1-7-2013 - J.O. du 18-7-2013</w:t>
      </w:r>
    </w:p>
    <w:p w:rsidR="00193FF9" w:rsidRPr="00193FF9" w:rsidRDefault="00193FF9" w:rsidP="00193FF9">
      <w:pPr>
        <w:pStyle w:val="Sansinterligne"/>
        <w:ind w:left="360"/>
        <w:jc w:val="both"/>
        <w:rPr>
          <w:rFonts w:asciiTheme="minorHAnsi" w:hAnsiTheme="minorHAnsi" w:cstheme="minorHAnsi"/>
          <w:sz w:val="18"/>
          <w:szCs w:val="18"/>
        </w:rPr>
      </w:pPr>
      <w:hyperlink r:id="rId10">
        <w:r w:rsidRPr="00193FF9">
          <w:rPr>
            <w:rStyle w:val="LienInternet"/>
            <w:rFonts w:asciiTheme="minorHAnsi" w:hAnsiTheme="minorHAnsi" w:cstheme="minorHAnsi"/>
            <w:sz w:val="18"/>
            <w:szCs w:val="18"/>
          </w:rPr>
          <w:t>http://www.education.gouv.fr/cid73215/le-ref</w:t>
        </w:r>
        <w:r w:rsidRPr="00193FF9">
          <w:rPr>
            <w:rStyle w:val="LienInternet"/>
            <w:rFonts w:asciiTheme="minorHAnsi" w:hAnsiTheme="minorHAnsi" w:cstheme="minorHAnsi"/>
            <w:sz w:val="18"/>
            <w:szCs w:val="18"/>
          </w:rPr>
          <w:t>e</w:t>
        </w:r>
        <w:r w:rsidRPr="00193FF9">
          <w:rPr>
            <w:rStyle w:val="LienInternet"/>
            <w:rFonts w:asciiTheme="minorHAnsi" w:hAnsiTheme="minorHAnsi" w:cstheme="minorHAnsi"/>
            <w:sz w:val="18"/>
            <w:szCs w:val="18"/>
          </w:rPr>
          <w:t>rentiel-de-competences-des-enseignants-au-bo-du-25-juillet-2013.html</w:t>
        </w:r>
      </w:hyperlink>
      <w:r w:rsidRPr="00193FF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22C21" w:rsidRPr="00193FF9" w:rsidRDefault="00622C21" w:rsidP="00193FF9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193FF9" w:rsidRDefault="007B3C00" w:rsidP="00193FF9">
      <w:pPr>
        <w:pStyle w:val="Sansinterligne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Formation des enseignants</w:t>
      </w:r>
      <w:r w:rsidR="00193FF9">
        <w:rPr>
          <w:rFonts w:asciiTheme="minorHAnsi" w:hAnsiTheme="minorHAnsi" w:cstheme="minorHAnsi"/>
          <w:sz w:val="18"/>
          <w:szCs w:val="18"/>
        </w:rPr>
        <w:t xml:space="preserve"> - </w:t>
      </w:r>
      <w:r w:rsidR="00193FF9" w:rsidRPr="00193FF9">
        <w:rPr>
          <w:rFonts w:asciiTheme="minorHAnsi" w:hAnsiTheme="minorHAnsi" w:cstheme="minorHAnsi"/>
          <w:bCs/>
          <w:sz w:val="18"/>
          <w:szCs w:val="18"/>
        </w:rPr>
        <w:t>Modalités d'évaluation du stage et de titularisation des personnels enseignants et d'éducation de l'enseignement public</w:t>
      </w:r>
      <w:r w:rsidR="00193FF9">
        <w:rPr>
          <w:rFonts w:asciiTheme="minorHAnsi" w:hAnsiTheme="minorHAnsi" w:cstheme="minorHAnsi"/>
          <w:sz w:val="18"/>
          <w:szCs w:val="18"/>
        </w:rPr>
        <w:t xml:space="preserve"> : </w:t>
      </w:r>
      <w:r w:rsidR="00193FF9" w:rsidRPr="00193FF9">
        <w:rPr>
          <w:rFonts w:asciiTheme="minorHAnsi" w:hAnsiTheme="minorHAnsi" w:cstheme="minorHAnsi"/>
          <w:sz w:val="18"/>
          <w:szCs w:val="18"/>
        </w:rPr>
        <w:t>BO n°13 du 26 mars 2015</w:t>
      </w:r>
      <w:r w:rsidR="00193FF9">
        <w:rPr>
          <w:rFonts w:asciiTheme="minorHAnsi" w:hAnsiTheme="minorHAnsi" w:cstheme="minorHAnsi"/>
          <w:sz w:val="18"/>
          <w:szCs w:val="18"/>
        </w:rPr>
        <w:t xml:space="preserve"> - N</w:t>
      </w:r>
      <w:r w:rsidR="00193FF9" w:rsidRPr="00193FF9">
        <w:rPr>
          <w:rFonts w:asciiTheme="minorHAnsi" w:hAnsiTheme="minorHAnsi" w:cstheme="minorHAnsi"/>
          <w:sz w:val="18"/>
          <w:szCs w:val="18"/>
        </w:rPr>
        <w:t>ote de service n° 2015-055 du 17-3-2015</w:t>
      </w:r>
    </w:p>
    <w:p w:rsidR="00622C21" w:rsidRPr="00193FF9" w:rsidRDefault="007B3C00" w:rsidP="00193FF9">
      <w:pPr>
        <w:pStyle w:val="Sansinterligne"/>
        <w:ind w:left="360"/>
        <w:jc w:val="both"/>
        <w:rPr>
          <w:rFonts w:asciiTheme="minorHAnsi" w:hAnsiTheme="minorHAnsi" w:cstheme="minorHAnsi"/>
          <w:sz w:val="18"/>
          <w:szCs w:val="18"/>
        </w:rPr>
      </w:pPr>
      <w:hyperlink r:id="rId11">
        <w:r w:rsidRPr="00193FF9">
          <w:rPr>
            <w:rStyle w:val="LienInternet"/>
            <w:rFonts w:asciiTheme="minorHAnsi" w:hAnsiTheme="minorHAnsi" w:cstheme="minorHAnsi"/>
            <w:sz w:val="18"/>
            <w:szCs w:val="18"/>
          </w:rPr>
          <w:t>http://www.education.gouv.fr/pid25535/bu</w:t>
        </w:r>
        <w:r w:rsidRPr="00193FF9">
          <w:rPr>
            <w:rStyle w:val="LienInternet"/>
            <w:rFonts w:asciiTheme="minorHAnsi" w:hAnsiTheme="minorHAnsi" w:cstheme="minorHAnsi"/>
            <w:sz w:val="18"/>
            <w:szCs w:val="18"/>
          </w:rPr>
          <w:t>l</w:t>
        </w:r>
        <w:r w:rsidRPr="00193FF9">
          <w:rPr>
            <w:rStyle w:val="LienInternet"/>
            <w:rFonts w:asciiTheme="minorHAnsi" w:hAnsiTheme="minorHAnsi" w:cstheme="minorHAnsi"/>
            <w:sz w:val="18"/>
            <w:szCs w:val="18"/>
          </w:rPr>
          <w:t>letin_officiel.html?cid_bo=87000</w:t>
        </w:r>
      </w:hyperlink>
      <w:r w:rsidRPr="00193FF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22C21" w:rsidRPr="00193FF9" w:rsidRDefault="00622C21">
      <w:pPr>
        <w:pStyle w:val="Sansinterligne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622C21">
      <w:pPr>
        <w:pStyle w:val="Sansinterligne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622C21">
      <w:pPr>
        <w:pStyle w:val="Sansinterligne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Le Maître d'Accueil Tempora</w:t>
      </w:r>
      <w:r w:rsidRPr="00193FF9">
        <w:rPr>
          <w:rFonts w:asciiTheme="minorHAnsi" w:hAnsiTheme="minorHAnsi" w:cstheme="minorHAnsi"/>
          <w:sz w:val="18"/>
          <w:szCs w:val="18"/>
        </w:rPr>
        <w:t>ire (MAT) est un enseignant volontaire, expert, capable d’expo</w:t>
      </w:r>
      <w:r w:rsidR="00193FF9">
        <w:rPr>
          <w:rFonts w:asciiTheme="minorHAnsi" w:hAnsiTheme="minorHAnsi" w:cstheme="minorHAnsi"/>
          <w:sz w:val="18"/>
          <w:szCs w:val="18"/>
        </w:rPr>
        <w:t>ser à de futurs enseignants se</w:t>
      </w:r>
      <w:r w:rsidRPr="00193FF9">
        <w:rPr>
          <w:rFonts w:asciiTheme="minorHAnsi" w:hAnsiTheme="minorHAnsi" w:cstheme="minorHAnsi"/>
          <w:sz w:val="18"/>
          <w:szCs w:val="18"/>
        </w:rPr>
        <w:t>s manières de faire, d’expliciter les dé</w:t>
      </w:r>
      <w:r w:rsidR="00193FF9">
        <w:rPr>
          <w:rFonts w:asciiTheme="minorHAnsi" w:hAnsiTheme="minorHAnsi" w:cstheme="minorHAnsi"/>
          <w:sz w:val="18"/>
          <w:szCs w:val="18"/>
        </w:rPr>
        <w:t>marches mises en œuvre dans son</w:t>
      </w:r>
      <w:r w:rsidRPr="00193FF9">
        <w:rPr>
          <w:rFonts w:asciiTheme="minorHAnsi" w:hAnsiTheme="minorHAnsi" w:cstheme="minorHAnsi"/>
          <w:sz w:val="18"/>
          <w:szCs w:val="18"/>
        </w:rPr>
        <w:t xml:space="preserve"> enseignement et de présenter la réalité de la classe</w:t>
      </w:r>
      <w:r w:rsidR="00193FF9">
        <w:rPr>
          <w:rFonts w:asciiTheme="minorHAnsi" w:hAnsiTheme="minorHAnsi" w:cstheme="minorHAnsi"/>
          <w:sz w:val="18"/>
          <w:szCs w:val="18"/>
        </w:rPr>
        <w:t xml:space="preserve"> et de l’école dans laquelle il</w:t>
      </w:r>
      <w:r w:rsidRPr="00193FF9">
        <w:rPr>
          <w:rFonts w:asciiTheme="minorHAnsi" w:hAnsiTheme="minorHAnsi" w:cstheme="minorHAnsi"/>
          <w:sz w:val="18"/>
          <w:szCs w:val="18"/>
        </w:rPr>
        <w:t xml:space="preserve"> exer</w:t>
      </w:r>
      <w:r w:rsidR="00193FF9">
        <w:rPr>
          <w:rFonts w:asciiTheme="minorHAnsi" w:hAnsiTheme="minorHAnsi" w:cstheme="minorHAnsi"/>
          <w:sz w:val="18"/>
          <w:szCs w:val="18"/>
        </w:rPr>
        <w:t>ce.</w:t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Il est un modèle reconnu par son inspecteur.</w:t>
      </w:r>
    </w:p>
    <w:p w:rsidR="00622C21" w:rsidRPr="00193FF9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CF133C" w:rsidRDefault="007B3C00" w:rsidP="00CF133C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 xml:space="preserve">Le rôle fondamental du MAT réside dans l’aide qu’il peut apporter à l’étudiant au cours de ses stages en l’accompagnant explicitement dans ces 4 grands domaines : </w:t>
      </w:r>
    </w:p>
    <w:p w:rsidR="00CF133C" w:rsidRPr="00CF133C" w:rsidRDefault="007B3C00" w:rsidP="00CF133C">
      <w:pPr>
        <w:pStyle w:val="Sansinterligne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F133C">
        <w:rPr>
          <w:rFonts w:asciiTheme="minorHAnsi" w:eastAsia="Calibri" w:hAnsiTheme="minorHAnsi" w:cstheme="minorHAnsi"/>
          <w:b/>
          <w:sz w:val="18"/>
          <w:szCs w:val="18"/>
        </w:rPr>
        <w:t>Les valeurs de la République et le cad</w:t>
      </w:r>
      <w:r w:rsidRPr="00CF133C">
        <w:rPr>
          <w:rFonts w:asciiTheme="minorHAnsi" w:eastAsia="Calibri" w:hAnsiTheme="minorHAnsi" w:cstheme="minorHAnsi"/>
          <w:b/>
          <w:sz w:val="18"/>
          <w:szCs w:val="18"/>
        </w:rPr>
        <w:t>re éthique et institutionnel du métier</w:t>
      </w:r>
      <w:r w:rsidRPr="00CF133C">
        <w:rPr>
          <w:rFonts w:asciiTheme="minorHAnsi" w:eastAsia="Calibri" w:hAnsiTheme="minorHAnsi" w:cstheme="minorHAnsi"/>
          <w:sz w:val="18"/>
          <w:szCs w:val="18"/>
        </w:rPr>
        <w:t xml:space="preserve"> dans lequel se</w:t>
      </w:r>
      <w:r w:rsidR="00193FF9" w:rsidRPr="00CF133C">
        <w:rPr>
          <w:rFonts w:asciiTheme="minorHAnsi" w:eastAsia="Calibri" w:hAnsiTheme="minorHAnsi" w:cstheme="minorHAnsi"/>
          <w:sz w:val="18"/>
          <w:szCs w:val="18"/>
        </w:rPr>
        <w:t xml:space="preserve"> déploient quelques-unes de se</w:t>
      </w:r>
      <w:r w:rsidRPr="00CF133C">
        <w:rPr>
          <w:rFonts w:asciiTheme="minorHAnsi" w:eastAsia="Calibri" w:hAnsiTheme="minorHAnsi" w:cstheme="minorHAnsi"/>
          <w:sz w:val="18"/>
          <w:szCs w:val="18"/>
        </w:rPr>
        <w:t>s incarnations : concept de laïcité, lutte contre les discriminations, culture de l’égalité entre les femmes et les hommes</w:t>
      </w:r>
      <w:r w:rsidRPr="00CF133C">
        <w:rPr>
          <w:rFonts w:asciiTheme="minorHAnsi" w:eastAsia="Calibri" w:hAnsiTheme="minorHAnsi" w:cstheme="minorHAnsi"/>
          <w:sz w:val="18"/>
          <w:szCs w:val="18"/>
        </w:rPr>
        <w:t>… appropriation de ces valeurs et capacité à les</w:t>
      </w:r>
      <w:r w:rsidRPr="00CF133C">
        <w:rPr>
          <w:rFonts w:asciiTheme="minorHAnsi" w:eastAsia="Calibri" w:hAnsiTheme="minorHAnsi" w:cstheme="minorHAnsi"/>
          <w:sz w:val="18"/>
          <w:szCs w:val="18"/>
        </w:rPr>
        <w:t xml:space="preserve"> transmettre aux élèves dans le contexte de la classe, de l’école.</w:t>
      </w:r>
    </w:p>
    <w:p w:rsidR="00CF133C" w:rsidRPr="00CF133C" w:rsidRDefault="007B3C00" w:rsidP="00CF133C">
      <w:pPr>
        <w:pStyle w:val="Sansinterligne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F133C">
        <w:rPr>
          <w:rFonts w:asciiTheme="minorHAnsi" w:eastAsia="Calibri" w:hAnsiTheme="minorHAnsi" w:cstheme="minorHAnsi"/>
          <w:b/>
          <w:sz w:val="18"/>
          <w:szCs w:val="18"/>
        </w:rPr>
        <w:t>Des gestes professionnels liés aux situations d’apprentissage</w:t>
      </w:r>
      <w:r w:rsidRPr="00CF133C">
        <w:rPr>
          <w:rFonts w:asciiTheme="minorHAnsi" w:eastAsia="Calibri" w:hAnsiTheme="minorHAnsi" w:cstheme="minorHAnsi"/>
          <w:sz w:val="18"/>
          <w:szCs w:val="18"/>
        </w:rPr>
        <w:t> : conduite de classe, prévention des violences scolaires, prise en compte de la diversité des publics et en particulier des élè</w:t>
      </w:r>
      <w:r w:rsidRPr="00CF133C">
        <w:rPr>
          <w:rFonts w:asciiTheme="minorHAnsi" w:eastAsia="Calibri" w:hAnsiTheme="minorHAnsi" w:cstheme="minorHAnsi"/>
          <w:sz w:val="18"/>
          <w:szCs w:val="18"/>
        </w:rPr>
        <w:t>ves à besoins éducatifs spécifiques, méthodes de différenciation et soutien aux élèves en difficulté.</w:t>
      </w:r>
    </w:p>
    <w:p w:rsidR="00CF133C" w:rsidRPr="00CF133C" w:rsidRDefault="007B3C00" w:rsidP="00CF133C">
      <w:pPr>
        <w:pStyle w:val="Sansinterligne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F133C">
        <w:rPr>
          <w:rFonts w:asciiTheme="minorHAnsi" w:eastAsia="Calibri" w:hAnsiTheme="minorHAnsi" w:cstheme="minorHAnsi"/>
          <w:b/>
          <w:sz w:val="18"/>
          <w:szCs w:val="18"/>
        </w:rPr>
        <w:t>Des connaissances liées au parcours des élèves</w:t>
      </w:r>
      <w:r w:rsidRPr="00CF133C">
        <w:rPr>
          <w:rFonts w:asciiTheme="minorHAnsi" w:eastAsia="Calibri" w:hAnsiTheme="minorHAnsi" w:cstheme="minorHAnsi"/>
          <w:sz w:val="18"/>
          <w:szCs w:val="18"/>
        </w:rPr>
        <w:t> : approche par les compétences, socle commun de connaissances, de compétences et de culture, spécificités d</w:t>
      </w:r>
      <w:r w:rsidRPr="00CF133C">
        <w:rPr>
          <w:rFonts w:asciiTheme="minorHAnsi" w:eastAsia="Calibri" w:hAnsiTheme="minorHAnsi" w:cstheme="minorHAnsi"/>
          <w:sz w:val="18"/>
          <w:szCs w:val="18"/>
        </w:rPr>
        <w:t>es niveaux d’enseignement dont celles de l’école maternelle, méthodes d’évaluation des élèves, processus d’orientation, processus d’apprentissage des élèves.</w:t>
      </w:r>
    </w:p>
    <w:p w:rsidR="00622C21" w:rsidRPr="00CF133C" w:rsidRDefault="007B3C00" w:rsidP="00CF133C">
      <w:pPr>
        <w:pStyle w:val="Sansinterligne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CF133C">
        <w:rPr>
          <w:rFonts w:asciiTheme="minorHAnsi" w:eastAsia="Calibri" w:hAnsiTheme="minorHAnsi" w:cstheme="minorHAnsi"/>
          <w:b/>
          <w:sz w:val="18"/>
          <w:szCs w:val="18"/>
        </w:rPr>
        <w:t>Une appropriation des thèmes d’éducation transversaux</w:t>
      </w:r>
      <w:r w:rsidRPr="00CF133C">
        <w:rPr>
          <w:rFonts w:asciiTheme="minorHAnsi" w:eastAsia="Calibri" w:hAnsiTheme="minorHAnsi" w:cstheme="minorHAnsi"/>
          <w:sz w:val="18"/>
          <w:szCs w:val="18"/>
        </w:rPr>
        <w:t xml:space="preserve"> et des grands sujets sociétaux : citoyenneté</w:t>
      </w:r>
      <w:r w:rsidRPr="00CF133C">
        <w:rPr>
          <w:rFonts w:asciiTheme="minorHAnsi" w:eastAsia="Calibri" w:hAnsiTheme="minorHAnsi" w:cstheme="minorHAnsi"/>
          <w:sz w:val="18"/>
          <w:szCs w:val="18"/>
        </w:rPr>
        <w:t xml:space="preserve">, éducation artistique et culturelle, éducation à l’environnement et au développement durable, éducation à la santé. Traitement des questions relatives aux enjeux et aux défis de l’école. </w:t>
      </w:r>
    </w:p>
    <w:p w:rsidR="00622C21" w:rsidRPr="00193FF9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 xml:space="preserve">Pour s’exercer pleinement, cette fonction nécessite : </w:t>
      </w:r>
    </w:p>
    <w:p w:rsidR="00761B72" w:rsidRDefault="00761B72" w:rsidP="00761B72">
      <w:pPr>
        <w:pStyle w:val="Paragraphedeliste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une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posture bienveillante et empathique,</w:t>
      </w:r>
    </w:p>
    <w:p w:rsidR="00761B72" w:rsidRDefault="00761B72" w:rsidP="00761B72">
      <w:pPr>
        <w:pStyle w:val="Paragraphedeliste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de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r</w:t>
      </w:r>
      <w:r w:rsidR="007B3C00" w:rsidRPr="00761B72">
        <w:rPr>
          <w:rFonts w:asciiTheme="minorHAnsi" w:hAnsiTheme="minorHAnsi" w:cstheme="minorHAnsi"/>
          <w:sz w:val="18"/>
          <w:szCs w:val="18"/>
        </w:rPr>
        <w:t>assurer le débutant, le sécuriser et développer chez lui des compétences professionnelles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761B72" w:rsidRDefault="007B3C00" w:rsidP="00761B72">
      <w:pPr>
        <w:pStyle w:val="Paragraphedeliste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761B72">
        <w:rPr>
          <w:rFonts w:asciiTheme="minorHAnsi" w:hAnsiTheme="minorHAnsi" w:cstheme="minorHAnsi"/>
          <w:sz w:val="18"/>
          <w:szCs w:val="18"/>
        </w:rPr>
        <w:t>une</w:t>
      </w:r>
      <w:proofErr w:type="gramEnd"/>
      <w:r w:rsidRPr="00761B72">
        <w:rPr>
          <w:rFonts w:asciiTheme="minorHAnsi" w:hAnsiTheme="minorHAnsi" w:cstheme="minorHAnsi"/>
          <w:sz w:val="18"/>
          <w:szCs w:val="18"/>
        </w:rPr>
        <w:t xml:space="preserve"> centration forte sur les préoccupations</w:t>
      </w:r>
      <w:r w:rsidR="00761B72">
        <w:rPr>
          <w:rFonts w:asciiTheme="minorHAnsi" w:hAnsiTheme="minorHAnsi" w:cstheme="minorHAnsi"/>
          <w:sz w:val="18"/>
          <w:szCs w:val="18"/>
        </w:rPr>
        <w:t xml:space="preserve"> et les demandes des étudiants,</w:t>
      </w:r>
    </w:p>
    <w:p w:rsidR="00761B72" w:rsidRDefault="00761B72" w:rsidP="00761B72">
      <w:pPr>
        <w:pStyle w:val="Paragraphedeliste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761B72">
        <w:rPr>
          <w:rFonts w:asciiTheme="minorHAnsi" w:hAnsiTheme="minorHAnsi" w:cstheme="minorHAnsi"/>
          <w:sz w:val="18"/>
          <w:szCs w:val="18"/>
        </w:rPr>
        <w:t>une</w:t>
      </w:r>
      <w:proofErr w:type="gramEnd"/>
      <w:r w:rsidRPr="00761B72">
        <w:rPr>
          <w:rFonts w:asciiTheme="minorHAnsi" w:hAnsiTheme="minorHAnsi" w:cstheme="minorHAnsi"/>
          <w:sz w:val="18"/>
          <w:szCs w:val="18"/>
        </w:rPr>
        <w:t xml:space="preserve"> aide concrète à l’élaboration des outils de planification et de préparation du travail de classe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761B72" w:rsidRDefault="00761B72" w:rsidP="00761B72">
      <w:pPr>
        <w:pStyle w:val="Paragraphedeliste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761B72">
        <w:rPr>
          <w:rFonts w:asciiTheme="minorHAnsi" w:hAnsiTheme="minorHAnsi" w:cstheme="minorHAnsi"/>
          <w:sz w:val="18"/>
          <w:szCs w:val="18"/>
        </w:rPr>
        <w:t>des</w:t>
      </w:r>
      <w:proofErr w:type="gramEnd"/>
      <w:r w:rsidRPr="00761B72">
        <w:rPr>
          <w:rFonts w:asciiTheme="minorHAnsi" w:hAnsiTheme="minorHAnsi" w:cstheme="minorHAnsi"/>
          <w:sz w:val="18"/>
          <w:szCs w:val="18"/>
        </w:rPr>
        <w:t xml:space="preserve"> propositions de modalités d’organisation de</w:t>
      </w:r>
      <w:r>
        <w:rPr>
          <w:rFonts w:asciiTheme="minorHAnsi" w:hAnsiTheme="minorHAnsi" w:cstheme="minorHAnsi"/>
          <w:sz w:val="18"/>
          <w:szCs w:val="18"/>
        </w:rPr>
        <w:t xml:space="preserve"> classe et de différenciation,</w:t>
      </w:r>
    </w:p>
    <w:p w:rsidR="00761B72" w:rsidRPr="00761B72" w:rsidRDefault="00761B72" w:rsidP="00761B72">
      <w:pPr>
        <w:pStyle w:val="Paragraphedeliste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761B72">
        <w:rPr>
          <w:rFonts w:asciiTheme="minorHAnsi" w:hAnsiTheme="minorHAnsi" w:cstheme="minorHAnsi"/>
          <w:sz w:val="18"/>
          <w:szCs w:val="18"/>
        </w:rPr>
        <w:t>une</w:t>
      </w:r>
      <w:proofErr w:type="gramEnd"/>
      <w:r w:rsidRPr="00761B72">
        <w:rPr>
          <w:rFonts w:asciiTheme="minorHAnsi" w:hAnsiTheme="minorHAnsi" w:cstheme="minorHAnsi"/>
          <w:sz w:val="18"/>
          <w:szCs w:val="18"/>
        </w:rPr>
        <w:t xml:space="preserve"> mise en situation de réflexivité et de prise de conscience par rapport aux réussites et aux besoins, etc.</w:t>
      </w:r>
    </w:p>
    <w:p w:rsidR="00622C21" w:rsidRPr="00761B72" w:rsidRDefault="007B3C00" w:rsidP="00761B72">
      <w:pPr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La situation d’observateur permet de repérer de nombreuses et inévitables insuffisances chez les débutants.</w:t>
      </w:r>
    </w:p>
    <w:p w:rsidR="00622C21" w:rsidRPr="00193FF9" w:rsidRDefault="00622C21">
      <w:pPr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7B3C00">
      <w:pPr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Le M.A.T adopte une posture et un</w:t>
      </w:r>
      <w:r w:rsidRPr="00193FF9">
        <w:rPr>
          <w:rFonts w:asciiTheme="minorHAnsi" w:hAnsiTheme="minorHAnsi" w:cstheme="minorHAnsi"/>
          <w:sz w:val="18"/>
          <w:szCs w:val="18"/>
        </w:rPr>
        <w:t xml:space="preserve"> positionnement modélisant. Il s’applique dans la rédaction des documents écrits qu’ils soient d’ordre pédagogiques ou administratifs, respecte les délais impartis de transmission aux destinataires universitaires.</w:t>
      </w:r>
    </w:p>
    <w:p w:rsidR="00622C21" w:rsidRPr="00193FF9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761B72" w:rsidRDefault="00761B72">
      <w:pPr>
        <w:suppressAutoHyphens w:val="0"/>
        <w:spacing w:line="259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lastRenderedPageBreak/>
        <w:t>L’étudiant effectue 2 stages dans l’année</w:t>
      </w:r>
      <w:r w:rsidRPr="00193FF9">
        <w:rPr>
          <w:rFonts w:asciiTheme="minorHAnsi" w:hAnsiTheme="minorHAnsi" w:cstheme="minorHAnsi"/>
          <w:sz w:val="18"/>
          <w:szCs w:val="18"/>
        </w:rPr>
        <w:t> :</w:t>
      </w:r>
    </w:p>
    <w:p w:rsidR="00622C21" w:rsidRPr="00761B72" w:rsidRDefault="00761B72" w:rsidP="00761B72">
      <w:pPr>
        <w:pStyle w:val="Paragraphedeliste"/>
        <w:numPr>
          <w:ilvl w:val="0"/>
          <w:numId w:val="6"/>
        </w:numPr>
        <w:tabs>
          <w:tab w:val="left" w:pos="1620"/>
        </w:tabs>
        <w:spacing w:after="0" w:line="280" w:lineRule="atLeast"/>
        <w:ind w:right="-601"/>
        <w:jc w:val="both"/>
        <w:rPr>
          <w:rFonts w:asciiTheme="minorHAnsi" w:hAnsiTheme="minorHAnsi" w:cstheme="minorHAnsi"/>
          <w:sz w:val="18"/>
          <w:szCs w:val="18"/>
        </w:rPr>
      </w:pPr>
      <w:r w:rsidRPr="00761B72">
        <w:rPr>
          <w:rFonts w:asciiTheme="minorHAnsi" w:eastAsia="Calibri" w:hAnsiTheme="minorHAnsi" w:cstheme="minorHAnsi"/>
          <w:b/>
          <w:sz w:val="18"/>
          <w:szCs w:val="18"/>
        </w:rPr>
        <w:t>Stage d’observation (SO</w:t>
      </w:r>
      <w:r w:rsidR="007B3C00" w:rsidRPr="00761B72">
        <w:rPr>
          <w:rFonts w:asciiTheme="minorHAnsi" w:eastAsia="Calibri" w:hAnsiTheme="minorHAnsi" w:cstheme="minorHAnsi"/>
          <w:b/>
          <w:sz w:val="18"/>
          <w:szCs w:val="18"/>
        </w:rPr>
        <w:t>)</w:t>
      </w:r>
    </w:p>
    <w:p w:rsidR="00622C21" w:rsidRPr="00193FF9" w:rsidRDefault="007B3C00">
      <w:pPr>
        <w:tabs>
          <w:tab w:val="left" w:pos="1620"/>
        </w:tabs>
        <w:spacing w:after="0" w:line="280" w:lineRule="atLeast"/>
        <w:ind w:right="-601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eastAsia="Calibri" w:hAnsiTheme="minorHAnsi" w:cstheme="minorHAnsi"/>
          <w:sz w:val="18"/>
          <w:szCs w:val="18"/>
        </w:rPr>
        <w:t>Le stage d’observation permet à l’étudiant d’observer la pratique quotidienne d’un enseignant. Il a pour but de le familiariser aux situations professionnelles rencontrées par le professeur des écoles, il fait l’objet de réflexi</w:t>
      </w:r>
      <w:r w:rsidRPr="00193FF9">
        <w:rPr>
          <w:rFonts w:asciiTheme="minorHAnsi" w:eastAsia="Calibri" w:hAnsiTheme="minorHAnsi" w:cstheme="minorHAnsi"/>
          <w:sz w:val="18"/>
          <w:szCs w:val="18"/>
        </w:rPr>
        <w:t>ons et d’échanges entre stagiaires et professionnels.</w:t>
      </w:r>
    </w:p>
    <w:p w:rsidR="00622C21" w:rsidRPr="00193FF9" w:rsidRDefault="007B3C00">
      <w:pPr>
        <w:tabs>
          <w:tab w:val="left" w:pos="1620"/>
        </w:tabs>
        <w:spacing w:after="0" w:line="280" w:lineRule="atLeast"/>
        <w:ind w:right="-601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eastAsia="Calibri" w:hAnsiTheme="minorHAnsi" w:cstheme="minorHAnsi"/>
          <w:sz w:val="18"/>
          <w:szCs w:val="18"/>
        </w:rPr>
        <w:t>Les étudiants effectuent ce stage de deux semaines par binôme d</w:t>
      </w:r>
      <w:r w:rsidR="00761B72">
        <w:rPr>
          <w:rFonts w:asciiTheme="minorHAnsi" w:eastAsia="Calibri" w:hAnsiTheme="minorHAnsi" w:cstheme="minorHAnsi"/>
          <w:sz w:val="18"/>
          <w:szCs w:val="18"/>
        </w:rPr>
        <w:t>ans la classe d’un titulaire MAT</w:t>
      </w:r>
      <w:r w:rsidRPr="00193FF9">
        <w:rPr>
          <w:rFonts w:asciiTheme="minorHAnsi" w:eastAsia="Calibri" w:hAnsiTheme="minorHAnsi" w:cstheme="minorHAnsi"/>
          <w:sz w:val="18"/>
          <w:szCs w:val="18"/>
        </w:rPr>
        <w:t xml:space="preserve"> désigné par le directeur académique des services de l’Éducation nationale.</w:t>
      </w:r>
    </w:p>
    <w:p w:rsidR="00622C21" w:rsidRPr="00193FF9" w:rsidRDefault="00622C21">
      <w:pPr>
        <w:tabs>
          <w:tab w:val="left" w:pos="1800"/>
        </w:tabs>
        <w:spacing w:after="0" w:line="280" w:lineRule="atLeast"/>
        <w:ind w:left="180" w:right="-601"/>
        <w:jc w:val="both"/>
        <w:rPr>
          <w:rFonts w:asciiTheme="minorHAnsi" w:hAnsiTheme="minorHAnsi" w:cstheme="minorHAnsi"/>
          <w:sz w:val="18"/>
          <w:szCs w:val="18"/>
        </w:rPr>
      </w:pPr>
    </w:p>
    <w:p w:rsidR="00622C21" w:rsidRPr="00761B72" w:rsidRDefault="007B3C00" w:rsidP="00761B72">
      <w:pPr>
        <w:pStyle w:val="Paragraphedeliste"/>
        <w:numPr>
          <w:ilvl w:val="0"/>
          <w:numId w:val="6"/>
        </w:numPr>
        <w:tabs>
          <w:tab w:val="left" w:pos="1620"/>
        </w:tabs>
        <w:spacing w:after="0" w:line="280" w:lineRule="atLeast"/>
        <w:ind w:right="-601"/>
        <w:jc w:val="both"/>
        <w:rPr>
          <w:rFonts w:asciiTheme="minorHAnsi" w:hAnsiTheme="minorHAnsi" w:cstheme="minorHAnsi"/>
          <w:sz w:val="18"/>
          <w:szCs w:val="18"/>
        </w:rPr>
      </w:pPr>
      <w:r w:rsidRPr="00761B72">
        <w:rPr>
          <w:rFonts w:asciiTheme="minorHAnsi" w:eastAsia="Calibri" w:hAnsiTheme="minorHAnsi" w:cstheme="minorHAnsi"/>
          <w:b/>
          <w:sz w:val="18"/>
          <w:szCs w:val="18"/>
        </w:rPr>
        <w:t xml:space="preserve">Stage de pratique accompagnée </w:t>
      </w:r>
      <w:r w:rsidR="00761B72">
        <w:rPr>
          <w:rFonts w:asciiTheme="minorHAnsi" w:eastAsia="Calibri" w:hAnsiTheme="minorHAnsi" w:cstheme="minorHAnsi"/>
          <w:b/>
          <w:sz w:val="18"/>
          <w:szCs w:val="18"/>
        </w:rPr>
        <w:t>(SPA</w:t>
      </w:r>
      <w:r w:rsidRPr="00761B72">
        <w:rPr>
          <w:rFonts w:asciiTheme="minorHAnsi" w:eastAsia="Calibri" w:hAnsiTheme="minorHAnsi" w:cstheme="minorHAnsi"/>
          <w:b/>
          <w:sz w:val="18"/>
          <w:szCs w:val="18"/>
        </w:rPr>
        <w:t>)</w:t>
      </w:r>
    </w:p>
    <w:p w:rsidR="00622C21" w:rsidRPr="00193FF9" w:rsidRDefault="007B3C00">
      <w:pPr>
        <w:tabs>
          <w:tab w:val="left" w:pos="1620"/>
        </w:tabs>
        <w:spacing w:after="0" w:line="280" w:lineRule="atLeast"/>
        <w:ind w:right="-601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eastAsia="Calibri" w:hAnsiTheme="minorHAnsi" w:cstheme="minorHAnsi"/>
          <w:sz w:val="18"/>
          <w:szCs w:val="18"/>
        </w:rPr>
        <w:t xml:space="preserve">Le stage de pratique accompagné doit donner l’occasion à l’étudiant de s’exercer à la pratique réelle du métier envisagé : </w:t>
      </w:r>
    </w:p>
    <w:p w:rsidR="00622C21" w:rsidRPr="00761B72" w:rsidRDefault="007B3C00" w:rsidP="00761B72">
      <w:pPr>
        <w:pStyle w:val="Paragraphedeliste"/>
        <w:numPr>
          <w:ilvl w:val="0"/>
          <w:numId w:val="7"/>
        </w:numPr>
        <w:tabs>
          <w:tab w:val="left" w:pos="1800"/>
          <w:tab w:val="left" w:pos="2160"/>
        </w:tabs>
        <w:spacing w:after="0" w:line="280" w:lineRule="atLeast"/>
        <w:ind w:right="-601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761B72">
        <w:rPr>
          <w:rFonts w:asciiTheme="minorHAnsi" w:eastAsia="Calibri" w:hAnsiTheme="minorHAnsi" w:cstheme="minorHAnsi"/>
          <w:sz w:val="18"/>
          <w:szCs w:val="18"/>
        </w:rPr>
        <w:t>préparation</w:t>
      </w:r>
      <w:proofErr w:type="gramEnd"/>
      <w:r w:rsidRPr="00761B72">
        <w:rPr>
          <w:rFonts w:asciiTheme="minorHAnsi" w:eastAsia="Calibri" w:hAnsiTheme="minorHAnsi" w:cstheme="minorHAnsi"/>
          <w:sz w:val="18"/>
          <w:szCs w:val="18"/>
        </w:rPr>
        <w:t xml:space="preserve"> et conduite d’une séance et/ou d’une séquence d’enseignement ;</w:t>
      </w:r>
    </w:p>
    <w:p w:rsidR="00622C21" w:rsidRPr="00761B72" w:rsidRDefault="007B3C00" w:rsidP="00761B72">
      <w:pPr>
        <w:pStyle w:val="Paragraphedeliste"/>
        <w:numPr>
          <w:ilvl w:val="0"/>
          <w:numId w:val="7"/>
        </w:numPr>
        <w:tabs>
          <w:tab w:val="left" w:pos="1800"/>
          <w:tab w:val="left" w:pos="2160"/>
        </w:tabs>
        <w:spacing w:after="0" w:line="280" w:lineRule="atLeast"/>
        <w:ind w:right="-601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761B72">
        <w:rPr>
          <w:rFonts w:asciiTheme="minorHAnsi" w:eastAsia="Calibri" w:hAnsiTheme="minorHAnsi" w:cstheme="minorHAnsi"/>
          <w:sz w:val="18"/>
          <w:szCs w:val="18"/>
        </w:rPr>
        <w:t>suivi</w:t>
      </w:r>
      <w:proofErr w:type="gramEnd"/>
      <w:r w:rsidRPr="00761B72">
        <w:rPr>
          <w:rFonts w:asciiTheme="minorHAnsi" w:eastAsia="Calibri" w:hAnsiTheme="minorHAnsi" w:cstheme="minorHAnsi"/>
          <w:sz w:val="18"/>
          <w:szCs w:val="18"/>
        </w:rPr>
        <w:t xml:space="preserve"> d’un projet de classe ;</w:t>
      </w:r>
    </w:p>
    <w:p w:rsidR="00622C21" w:rsidRPr="00761B72" w:rsidRDefault="007B3C00" w:rsidP="00761B72">
      <w:pPr>
        <w:pStyle w:val="Paragraphedeliste"/>
        <w:numPr>
          <w:ilvl w:val="0"/>
          <w:numId w:val="7"/>
        </w:numPr>
        <w:tabs>
          <w:tab w:val="left" w:pos="1800"/>
          <w:tab w:val="left" w:pos="2160"/>
        </w:tabs>
        <w:spacing w:after="0" w:line="280" w:lineRule="atLeast"/>
        <w:ind w:right="-601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761B72">
        <w:rPr>
          <w:rFonts w:asciiTheme="minorHAnsi" w:eastAsia="Calibri" w:hAnsiTheme="minorHAnsi" w:cstheme="minorHAnsi"/>
          <w:sz w:val="18"/>
          <w:szCs w:val="18"/>
        </w:rPr>
        <w:t>préparation</w:t>
      </w:r>
      <w:proofErr w:type="gramEnd"/>
      <w:r w:rsidRPr="00761B72">
        <w:rPr>
          <w:rFonts w:asciiTheme="minorHAnsi" w:eastAsia="Calibri" w:hAnsiTheme="minorHAnsi" w:cstheme="minorHAnsi"/>
          <w:sz w:val="18"/>
          <w:szCs w:val="18"/>
        </w:rPr>
        <w:t xml:space="preserve"> et </w:t>
      </w:r>
      <w:r w:rsidRPr="00761B72">
        <w:rPr>
          <w:rFonts w:asciiTheme="minorHAnsi" w:eastAsia="Calibri" w:hAnsiTheme="minorHAnsi" w:cstheme="minorHAnsi"/>
          <w:sz w:val="18"/>
          <w:szCs w:val="18"/>
        </w:rPr>
        <w:t>conduite d’une évaluation ;</w:t>
      </w:r>
    </w:p>
    <w:p w:rsidR="00622C21" w:rsidRPr="00761B72" w:rsidRDefault="007B3C00" w:rsidP="00761B72">
      <w:pPr>
        <w:pStyle w:val="Paragraphedeliste"/>
        <w:numPr>
          <w:ilvl w:val="0"/>
          <w:numId w:val="7"/>
        </w:numPr>
        <w:tabs>
          <w:tab w:val="left" w:pos="1800"/>
          <w:tab w:val="left" w:pos="2160"/>
        </w:tabs>
        <w:spacing w:after="0" w:line="280" w:lineRule="atLeast"/>
        <w:ind w:right="-601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761B72">
        <w:rPr>
          <w:rFonts w:asciiTheme="minorHAnsi" w:eastAsia="Calibri" w:hAnsiTheme="minorHAnsi" w:cstheme="minorHAnsi"/>
          <w:sz w:val="18"/>
          <w:szCs w:val="18"/>
        </w:rPr>
        <w:t>gestion</w:t>
      </w:r>
      <w:proofErr w:type="gramEnd"/>
      <w:r w:rsidRPr="00761B72">
        <w:rPr>
          <w:rFonts w:asciiTheme="minorHAnsi" w:eastAsia="Calibri" w:hAnsiTheme="minorHAnsi" w:cstheme="minorHAnsi"/>
          <w:sz w:val="18"/>
          <w:szCs w:val="18"/>
        </w:rPr>
        <w:t xml:space="preserve"> et encadrement de la classe ;</w:t>
      </w:r>
    </w:p>
    <w:p w:rsidR="00622C21" w:rsidRPr="00761B72" w:rsidRDefault="007B3C00" w:rsidP="00761B72">
      <w:pPr>
        <w:pStyle w:val="Paragraphedeliste"/>
        <w:numPr>
          <w:ilvl w:val="0"/>
          <w:numId w:val="7"/>
        </w:numPr>
        <w:tabs>
          <w:tab w:val="left" w:pos="1800"/>
          <w:tab w:val="left" w:pos="2160"/>
        </w:tabs>
        <w:spacing w:after="0" w:line="280" w:lineRule="atLeast"/>
        <w:ind w:right="-601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761B72">
        <w:rPr>
          <w:rFonts w:asciiTheme="minorHAnsi" w:eastAsia="Calibri" w:hAnsiTheme="minorHAnsi" w:cstheme="minorHAnsi"/>
          <w:sz w:val="18"/>
          <w:szCs w:val="18"/>
        </w:rPr>
        <w:t>préparation</w:t>
      </w:r>
      <w:proofErr w:type="gramEnd"/>
      <w:r w:rsidRPr="00761B72">
        <w:rPr>
          <w:rFonts w:asciiTheme="minorHAnsi" w:eastAsia="Calibri" w:hAnsiTheme="minorHAnsi" w:cstheme="minorHAnsi"/>
          <w:sz w:val="18"/>
          <w:szCs w:val="18"/>
        </w:rPr>
        <w:t xml:space="preserve"> d’un conseil d’école…</w:t>
      </w:r>
    </w:p>
    <w:p w:rsidR="00622C21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761B72" w:rsidRPr="00193FF9" w:rsidRDefault="00761B72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b/>
          <w:sz w:val="18"/>
          <w:szCs w:val="18"/>
        </w:rPr>
        <w:t>Accueil de l’étudiant (début et fin de stage)</w:t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- Prendre en compte son parcours antérieur (le questionner)</w:t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 xml:space="preserve">- « l’installer » en classe (légitimité, </w:t>
      </w:r>
      <w:r w:rsidRPr="00193FF9">
        <w:rPr>
          <w:rFonts w:asciiTheme="minorHAnsi" w:hAnsiTheme="minorHAnsi" w:cstheme="minorHAnsi"/>
          <w:sz w:val="18"/>
          <w:szCs w:val="18"/>
        </w:rPr>
        <w:t>explicitation de son rôle…)</w:t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- organiser des temps d’entretien : à poser ensemble en se mettant d’accord sur le calen</w:t>
      </w:r>
      <w:r w:rsidR="00761B72">
        <w:rPr>
          <w:rFonts w:asciiTheme="minorHAnsi" w:hAnsiTheme="minorHAnsi" w:cstheme="minorHAnsi"/>
          <w:sz w:val="18"/>
          <w:szCs w:val="18"/>
        </w:rPr>
        <w:t>drier (temps du déjeuner, autre..</w:t>
      </w:r>
      <w:r w:rsidRPr="00193FF9">
        <w:rPr>
          <w:rFonts w:asciiTheme="minorHAnsi" w:hAnsiTheme="minorHAnsi" w:cstheme="minorHAnsi"/>
          <w:sz w:val="18"/>
          <w:szCs w:val="18"/>
        </w:rPr>
        <w:t>.)</w:t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- clôturer (marquer la fin du stage)</w:t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- prendre en compte les demandes de l’ESPÉ</w:t>
      </w:r>
    </w:p>
    <w:p w:rsidR="00622C21" w:rsidRPr="00193FF9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Le MAT doit :</w:t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- Faire pr</w:t>
      </w:r>
      <w:r w:rsidRPr="00193FF9">
        <w:rPr>
          <w:rFonts w:asciiTheme="minorHAnsi" w:hAnsiTheme="minorHAnsi" w:cstheme="minorHAnsi"/>
          <w:sz w:val="18"/>
          <w:szCs w:val="18"/>
        </w:rPr>
        <w:t>euve de loyauté car il est le représentant de l’Institution</w:t>
      </w:r>
      <w:r w:rsidR="00761B72">
        <w:rPr>
          <w:rFonts w:asciiTheme="minorHAnsi" w:hAnsiTheme="minorHAnsi" w:cstheme="minorHAnsi"/>
          <w:sz w:val="18"/>
          <w:szCs w:val="18"/>
        </w:rPr>
        <w:t>.</w:t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 xml:space="preserve">- Mettre à disposition de l’étudiant ses </w:t>
      </w:r>
      <w:r w:rsidR="00761B72">
        <w:rPr>
          <w:rFonts w:asciiTheme="minorHAnsi" w:hAnsiTheme="minorHAnsi" w:cstheme="minorHAnsi"/>
          <w:sz w:val="18"/>
          <w:szCs w:val="18"/>
        </w:rPr>
        <w:t xml:space="preserve">écrits et </w:t>
      </w:r>
      <w:r w:rsidRPr="00193FF9">
        <w:rPr>
          <w:rFonts w:asciiTheme="minorHAnsi" w:hAnsiTheme="minorHAnsi" w:cstheme="minorHAnsi"/>
          <w:sz w:val="18"/>
          <w:szCs w:val="18"/>
        </w:rPr>
        <w:t>outils profess</w:t>
      </w:r>
      <w:r w:rsidR="00761B72">
        <w:rPr>
          <w:rFonts w:asciiTheme="minorHAnsi" w:hAnsiTheme="minorHAnsi" w:cstheme="minorHAnsi"/>
          <w:sz w:val="18"/>
          <w:szCs w:val="18"/>
        </w:rPr>
        <w:t>ionnels</w:t>
      </w:r>
      <w:r w:rsidRPr="00193FF9">
        <w:rPr>
          <w:rFonts w:asciiTheme="minorHAnsi" w:hAnsiTheme="minorHAnsi" w:cstheme="minorHAnsi"/>
          <w:sz w:val="18"/>
          <w:szCs w:val="18"/>
        </w:rPr>
        <w:t>, les expliciter : cahier journal, fiches de préparation, progressions, emplo</w:t>
      </w:r>
      <w:r w:rsidRPr="00193FF9">
        <w:rPr>
          <w:rFonts w:asciiTheme="minorHAnsi" w:hAnsiTheme="minorHAnsi" w:cstheme="minorHAnsi"/>
          <w:sz w:val="18"/>
          <w:szCs w:val="18"/>
        </w:rPr>
        <w:t>i du temps…</w:t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- Il est important de répondre à la demande de documents ou de consultat</w:t>
      </w:r>
      <w:r w:rsidR="00761B72">
        <w:rPr>
          <w:rFonts w:asciiTheme="minorHAnsi" w:hAnsiTheme="minorHAnsi" w:cstheme="minorHAnsi"/>
          <w:sz w:val="18"/>
          <w:szCs w:val="18"/>
        </w:rPr>
        <w:t>ion de documents par l’étudiant (</w:t>
      </w:r>
      <w:r w:rsidRPr="00193FF9">
        <w:rPr>
          <w:rFonts w:asciiTheme="minorHAnsi" w:hAnsiTheme="minorHAnsi" w:cstheme="minorHAnsi"/>
          <w:sz w:val="18"/>
          <w:szCs w:val="18"/>
        </w:rPr>
        <w:t>cahiers de l’élève, documents administratifs, pédagogiques…)</w:t>
      </w:r>
      <w:r w:rsidR="00761B72">
        <w:rPr>
          <w:rFonts w:asciiTheme="minorHAnsi" w:hAnsiTheme="minorHAnsi" w:cstheme="minorHAnsi"/>
          <w:sz w:val="18"/>
          <w:szCs w:val="18"/>
        </w:rPr>
        <w:t>.</w:t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- Avoir une bonne connaissance des</w:t>
      </w:r>
      <w:r w:rsidR="00761B72">
        <w:rPr>
          <w:rFonts w:asciiTheme="minorHAnsi" w:hAnsiTheme="minorHAnsi" w:cstheme="minorHAnsi"/>
          <w:sz w:val="18"/>
          <w:szCs w:val="18"/>
        </w:rPr>
        <w:t xml:space="preserve"> programmes en vigueur et savoir </w:t>
      </w:r>
      <w:r w:rsidRPr="00193FF9">
        <w:rPr>
          <w:rFonts w:asciiTheme="minorHAnsi" w:hAnsiTheme="minorHAnsi" w:cstheme="minorHAnsi"/>
          <w:sz w:val="18"/>
          <w:szCs w:val="18"/>
        </w:rPr>
        <w:t>en exposer les enjeux</w:t>
      </w:r>
      <w:r w:rsidR="00761B72">
        <w:rPr>
          <w:rFonts w:asciiTheme="minorHAnsi" w:hAnsiTheme="minorHAnsi" w:cstheme="minorHAnsi"/>
          <w:sz w:val="18"/>
          <w:szCs w:val="18"/>
        </w:rPr>
        <w:t>.</w:t>
      </w:r>
    </w:p>
    <w:p w:rsidR="00622C21" w:rsidRPr="00193FF9" w:rsidRDefault="00761B72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7B3C00" w:rsidRPr="00193FF9">
        <w:rPr>
          <w:rFonts w:asciiTheme="minorHAnsi" w:hAnsiTheme="minorHAnsi" w:cstheme="minorHAnsi"/>
          <w:sz w:val="18"/>
          <w:szCs w:val="18"/>
        </w:rPr>
        <w:t xml:space="preserve">Pouvoir expliciter ses gestes professionnels : pourquoi les élèves sont-ils entrés dans la tâche ? pourquoi ont-ils réagi ainsi ? pourquoi sont-ils autonomes sur telle chose ? </w:t>
      </w:r>
    </w:p>
    <w:p w:rsidR="00622C21" w:rsidRPr="00193FF9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 xml:space="preserve">- Pouvoir expliciter ses gestes professionnels dans la </w:t>
      </w:r>
      <w:r w:rsidRPr="00193FF9">
        <w:rPr>
          <w:rFonts w:asciiTheme="minorHAnsi" w:hAnsiTheme="minorHAnsi" w:cstheme="minorHAnsi"/>
          <w:sz w:val="18"/>
          <w:szCs w:val="18"/>
        </w:rPr>
        <w:t>gestion du groupe (facteurs d’un climat apaisé)</w:t>
      </w:r>
      <w:r w:rsidR="00761B72">
        <w:rPr>
          <w:rFonts w:asciiTheme="minorHAnsi" w:hAnsiTheme="minorHAnsi" w:cstheme="minorHAnsi"/>
          <w:sz w:val="18"/>
          <w:szCs w:val="18"/>
        </w:rPr>
        <w:t>.</w:t>
      </w:r>
    </w:p>
    <w:p w:rsidR="00622C21" w:rsidRDefault="007B3C00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- Prendre en charge les élèves en difficulté</w:t>
      </w:r>
      <w:r w:rsidR="00761B72">
        <w:rPr>
          <w:rFonts w:asciiTheme="minorHAnsi" w:hAnsiTheme="minorHAnsi" w:cstheme="minorHAnsi"/>
          <w:sz w:val="18"/>
          <w:szCs w:val="18"/>
        </w:rPr>
        <w:t>.</w:t>
      </w:r>
    </w:p>
    <w:p w:rsidR="00F52005" w:rsidRDefault="00F52005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F52005" w:rsidRPr="00193FF9" w:rsidRDefault="00F52005" w:rsidP="00F52005">
      <w:pPr>
        <w:pStyle w:val="Sansinterligne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 xml:space="preserve">Le travail d’observation de l’étudiant est très important et s’inscrit dans un cadre précis avec des outils : qu’observe-t-on ? qui observe-t-on ? à quel moment ? </w:t>
      </w:r>
    </w:p>
    <w:p w:rsidR="00F52005" w:rsidRPr="00193FF9" w:rsidRDefault="00F52005" w:rsidP="00F52005">
      <w:pPr>
        <w:pStyle w:val="Sansinterligne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 xml:space="preserve">Permettre aux étudiants d’observer plusieurs fois la même chose ? </w:t>
      </w:r>
    </w:p>
    <w:p w:rsidR="00F52005" w:rsidRPr="00193FF9" w:rsidRDefault="00F52005" w:rsidP="00F52005">
      <w:pPr>
        <w:pStyle w:val="Sansinterligne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Ce travail nécessite un accompagnement de la part du MAT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22C21" w:rsidRPr="00193FF9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7B3C00" w:rsidP="00761B7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 xml:space="preserve">A l’issue de chaque stage, le MAT rédige un bilan (document formalisé) qui rend compte de l‘investissement de l’étudiant. </w:t>
      </w:r>
    </w:p>
    <w:p w:rsidR="00622C21" w:rsidRPr="00193FF9" w:rsidRDefault="007B3C00" w:rsidP="00761B7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Il doit être explicité à l’étudiant par</w:t>
      </w:r>
      <w:r w:rsidRPr="00193FF9">
        <w:rPr>
          <w:rFonts w:asciiTheme="minorHAnsi" w:hAnsiTheme="minorHAnsi" w:cstheme="minorHAnsi"/>
          <w:sz w:val="18"/>
          <w:szCs w:val="18"/>
        </w:rPr>
        <w:t xml:space="preserve"> le MAT avant d’être transmis au référent universitaire. </w:t>
      </w:r>
    </w:p>
    <w:p w:rsidR="00622C21" w:rsidRPr="00193FF9" w:rsidRDefault="00761B72" w:rsidP="00761B7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Le MAT ne </w:t>
      </w:r>
      <w:r w:rsidR="007B3C00" w:rsidRPr="00193FF9">
        <w:rPr>
          <w:rFonts w:asciiTheme="minorHAnsi" w:hAnsiTheme="minorHAnsi" w:cstheme="minorHAnsi"/>
          <w:sz w:val="18"/>
          <w:szCs w:val="18"/>
        </w:rPr>
        <w:t>compléter</w:t>
      </w:r>
      <w:r>
        <w:rPr>
          <w:rFonts w:asciiTheme="minorHAnsi" w:hAnsiTheme="minorHAnsi" w:cstheme="minorHAnsi"/>
          <w:sz w:val="18"/>
          <w:szCs w:val="18"/>
        </w:rPr>
        <w:t>a</w:t>
      </w:r>
      <w:r w:rsidR="007B3C00" w:rsidRPr="00193FF9">
        <w:rPr>
          <w:rFonts w:asciiTheme="minorHAnsi" w:hAnsiTheme="minorHAnsi" w:cstheme="minorHAnsi"/>
          <w:sz w:val="18"/>
          <w:szCs w:val="18"/>
        </w:rPr>
        <w:t xml:space="preserve"> que ce qu’il a pu observer.</w:t>
      </w:r>
    </w:p>
    <w:p w:rsidR="00622C21" w:rsidRPr="00193FF9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622C21" w:rsidRDefault="007B3C00">
      <w:pPr>
        <w:pStyle w:val="Sansinterligne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61B72">
        <w:rPr>
          <w:rFonts w:asciiTheme="minorHAnsi" w:hAnsiTheme="minorHAnsi" w:cstheme="minorHAnsi"/>
          <w:b/>
          <w:sz w:val="18"/>
          <w:szCs w:val="18"/>
        </w:rPr>
        <w:t>Les référents universitaires :</w:t>
      </w:r>
    </w:p>
    <w:p w:rsidR="00F52005" w:rsidRDefault="00F52005">
      <w:pPr>
        <w:pStyle w:val="Sansinterligne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52005" w:rsidRPr="00F52005" w:rsidRDefault="00F52005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UCP ANTONY :</w:t>
      </w:r>
      <w:r>
        <w:rPr>
          <w:rFonts w:asciiTheme="minorHAnsi" w:hAnsiTheme="minorHAnsi" w:cstheme="minorHAnsi"/>
          <w:sz w:val="18"/>
          <w:szCs w:val="18"/>
        </w:rPr>
        <w:t xml:space="preserve"> Pascale PONTE (</w:t>
      </w:r>
      <w:hyperlink r:id="rId12" w:history="1">
        <w:r w:rsidRPr="004276E6">
          <w:rPr>
            <w:rStyle w:val="Lienhypertexte"/>
            <w:rFonts w:asciiTheme="minorHAnsi" w:hAnsiTheme="minorHAnsi" w:cstheme="minorHAnsi"/>
            <w:sz w:val="18"/>
            <w:szCs w:val="18"/>
          </w:rPr>
          <w:t>pascale.ponte@u-cergy.fr</w:t>
        </w:r>
      </w:hyperlink>
      <w:r>
        <w:rPr>
          <w:rFonts w:asciiTheme="minorHAnsi" w:hAnsiTheme="minorHAnsi" w:cstheme="minorHAnsi"/>
          <w:sz w:val="18"/>
          <w:szCs w:val="18"/>
        </w:rPr>
        <w:t xml:space="preserve">) </w:t>
      </w:r>
    </w:p>
    <w:p w:rsidR="00F52005" w:rsidRPr="00F52005" w:rsidRDefault="00F52005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UCP GENNEVILLERS :</w:t>
      </w:r>
      <w:r>
        <w:rPr>
          <w:rFonts w:asciiTheme="minorHAnsi" w:hAnsiTheme="minorHAnsi" w:cstheme="minorHAnsi"/>
          <w:sz w:val="18"/>
          <w:szCs w:val="18"/>
        </w:rPr>
        <w:t xml:space="preserve"> Valérie DESBIZET (</w:t>
      </w:r>
      <w:hyperlink r:id="rId13" w:history="1">
        <w:r w:rsidRPr="004276E6">
          <w:rPr>
            <w:rStyle w:val="Lienhypertexte"/>
            <w:rFonts w:asciiTheme="minorHAnsi" w:hAnsiTheme="minorHAnsi" w:cstheme="minorHAnsi"/>
            <w:sz w:val="18"/>
            <w:szCs w:val="18"/>
          </w:rPr>
          <w:t>valerie.desbizet@u-cergy.fr</w:t>
        </w:r>
      </w:hyperlink>
      <w:r>
        <w:rPr>
          <w:rFonts w:asciiTheme="minorHAnsi" w:hAnsiTheme="minorHAnsi" w:cstheme="minorHAnsi"/>
          <w:sz w:val="18"/>
          <w:szCs w:val="18"/>
        </w:rPr>
        <w:t xml:space="preserve">) </w:t>
      </w:r>
    </w:p>
    <w:p w:rsidR="00F52005" w:rsidRPr="00F52005" w:rsidRDefault="00F52005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UPN :</w:t>
      </w:r>
      <w:r>
        <w:rPr>
          <w:rFonts w:asciiTheme="minorHAnsi" w:hAnsiTheme="minorHAnsi" w:cstheme="minorHAnsi"/>
          <w:sz w:val="18"/>
          <w:szCs w:val="18"/>
        </w:rPr>
        <w:t xml:space="preserve"> Natacha ESPINOSA (</w:t>
      </w:r>
      <w:hyperlink r:id="rId14" w:history="1">
        <w:r w:rsidRPr="004276E6">
          <w:rPr>
            <w:rStyle w:val="Lienhypertexte"/>
            <w:rFonts w:asciiTheme="minorHAnsi" w:hAnsiTheme="minorHAnsi" w:cstheme="minorHAnsi"/>
            <w:sz w:val="18"/>
            <w:szCs w:val="18"/>
          </w:rPr>
          <w:t>natacha.espinosa@parisnanterre.fr</w:t>
        </w:r>
      </w:hyperlink>
      <w:r>
        <w:rPr>
          <w:rFonts w:asciiTheme="minorHAnsi" w:hAnsiTheme="minorHAnsi" w:cstheme="minorHAnsi"/>
          <w:sz w:val="18"/>
          <w:szCs w:val="18"/>
        </w:rPr>
        <w:t xml:space="preserve">) </w:t>
      </w:r>
    </w:p>
    <w:p w:rsidR="00622C21" w:rsidRPr="00193FF9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7B3C00" w:rsidP="00761B72">
      <w:pPr>
        <w:tabs>
          <w:tab w:val="left" w:pos="1980"/>
        </w:tabs>
        <w:spacing w:after="240" w:line="240" w:lineRule="auto"/>
        <w:ind w:right="-601"/>
        <w:jc w:val="both"/>
        <w:rPr>
          <w:rFonts w:asciiTheme="minorHAnsi" w:hAnsiTheme="minorHAnsi" w:cstheme="minorHAnsi"/>
          <w:sz w:val="18"/>
          <w:szCs w:val="18"/>
        </w:rPr>
      </w:pPr>
      <w:r w:rsidRPr="00193FF9">
        <w:rPr>
          <w:rFonts w:asciiTheme="minorHAnsi" w:hAnsiTheme="minorHAnsi" w:cstheme="minorHAnsi"/>
          <w:sz w:val="18"/>
          <w:szCs w:val="18"/>
        </w:rPr>
        <w:t>Toute absence de l’étudiant doit être signalée au référent universitaire et à la DSDEN.</w:t>
      </w:r>
    </w:p>
    <w:p w:rsidR="00761B72" w:rsidRPr="00F52005" w:rsidRDefault="00761B72" w:rsidP="00F52005">
      <w:pPr>
        <w:tabs>
          <w:tab w:val="left" w:pos="1980"/>
        </w:tabs>
        <w:spacing w:after="0" w:line="240" w:lineRule="auto"/>
        <w:ind w:right="-601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F52005">
        <w:rPr>
          <w:rFonts w:asciiTheme="minorHAnsi" w:eastAsia="Calibri" w:hAnsiTheme="minorHAnsi" w:cstheme="minorHAnsi"/>
          <w:b/>
          <w:sz w:val="18"/>
          <w:szCs w:val="18"/>
        </w:rPr>
        <w:t>Rémunération du MAT</w:t>
      </w:r>
    </w:p>
    <w:p w:rsidR="00622C21" w:rsidRPr="00F52005" w:rsidRDefault="007B3C00" w:rsidP="00F52005">
      <w:pPr>
        <w:pStyle w:val="Paragraphedeliste"/>
        <w:numPr>
          <w:ilvl w:val="0"/>
          <w:numId w:val="8"/>
        </w:numPr>
        <w:tabs>
          <w:tab w:val="left" w:pos="1980"/>
        </w:tabs>
        <w:spacing w:after="0" w:line="240" w:lineRule="auto"/>
        <w:ind w:right="-601"/>
        <w:jc w:val="both"/>
        <w:rPr>
          <w:rFonts w:asciiTheme="minorHAnsi" w:hAnsiTheme="minorHAnsi" w:cstheme="minorHAnsi"/>
          <w:sz w:val="18"/>
          <w:szCs w:val="18"/>
        </w:rPr>
      </w:pPr>
      <w:r w:rsidRPr="00F52005">
        <w:rPr>
          <w:rFonts w:asciiTheme="minorHAnsi" w:eastAsia="Calibri" w:hAnsiTheme="minorHAnsi" w:cstheme="minorHAnsi"/>
          <w:sz w:val="18"/>
          <w:szCs w:val="18"/>
        </w:rPr>
        <w:t>Le taux de rémunération pour l’accueil et l’accompagnement d’un étudiant M1est fixé à 150€ par étudiant par stage.</w:t>
      </w:r>
    </w:p>
    <w:p w:rsidR="00622C21" w:rsidRPr="00193FF9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p w:rsidR="00622C21" w:rsidRPr="00193FF9" w:rsidRDefault="00622C21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</w:p>
    <w:sectPr w:rsidR="00622C21" w:rsidRPr="00193FF9" w:rsidSect="00F52005">
      <w:footerReference w:type="default" r:id="rId15"/>
      <w:pgSz w:w="11906" w:h="16838"/>
      <w:pgMar w:top="851" w:right="851" w:bottom="851" w:left="85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00" w:rsidRDefault="007B3C00">
      <w:pPr>
        <w:spacing w:after="0" w:line="240" w:lineRule="auto"/>
      </w:pPr>
      <w:r>
        <w:separator/>
      </w:r>
    </w:p>
  </w:endnote>
  <w:endnote w:type="continuationSeparator" w:id="0">
    <w:p w:rsidR="007B3C00" w:rsidRDefault="007B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21" w:rsidRPr="00F52005" w:rsidRDefault="007B3C00">
    <w:pPr>
      <w:pStyle w:val="Pieddepage"/>
      <w:jc w:val="right"/>
      <w:rPr>
        <w:sz w:val="16"/>
        <w:szCs w:val="16"/>
      </w:rPr>
    </w:pPr>
    <w:r w:rsidRPr="00F52005">
      <w:rPr>
        <w:sz w:val="16"/>
        <w:szCs w:val="16"/>
      </w:rPr>
      <w:t xml:space="preserve">Page </w:t>
    </w:r>
    <w:r w:rsidRPr="00F52005">
      <w:rPr>
        <w:b/>
        <w:sz w:val="16"/>
        <w:szCs w:val="16"/>
      </w:rPr>
      <w:fldChar w:fldCharType="begin"/>
    </w:r>
    <w:r w:rsidRPr="00F52005">
      <w:rPr>
        <w:sz w:val="16"/>
        <w:szCs w:val="16"/>
      </w:rPr>
      <w:instrText>PAGE</w:instrText>
    </w:r>
    <w:r w:rsidRPr="00F52005">
      <w:rPr>
        <w:sz w:val="16"/>
        <w:szCs w:val="16"/>
      </w:rPr>
      <w:fldChar w:fldCharType="separate"/>
    </w:r>
    <w:r w:rsidR="00CF133C">
      <w:rPr>
        <w:noProof/>
        <w:sz w:val="16"/>
        <w:szCs w:val="16"/>
      </w:rPr>
      <w:t>2</w:t>
    </w:r>
    <w:r w:rsidRPr="00F52005">
      <w:rPr>
        <w:sz w:val="16"/>
        <w:szCs w:val="16"/>
      </w:rPr>
      <w:fldChar w:fldCharType="end"/>
    </w:r>
    <w:r w:rsidRPr="00F52005">
      <w:rPr>
        <w:sz w:val="16"/>
        <w:szCs w:val="16"/>
      </w:rPr>
      <w:t xml:space="preserve"> sur </w:t>
    </w:r>
    <w:r w:rsidRPr="00F52005">
      <w:rPr>
        <w:b/>
        <w:sz w:val="16"/>
        <w:szCs w:val="16"/>
      </w:rPr>
      <w:fldChar w:fldCharType="begin"/>
    </w:r>
    <w:r w:rsidRPr="00F52005">
      <w:rPr>
        <w:sz w:val="16"/>
        <w:szCs w:val="16"/>
      </w:rPr>
      <w:instrText>NUMPAGES</w:instrText>
    </w:r>
    <w:r w:rsidRPr="00F52005">
      <w:rPr>
        <w:sz w:val="16"/>
        <w:szCs w:val="16"/>
      </w:rPr>
      <w:fldChar w:fldCharType="separate"/>
    </w:r>
    <w:r w:rsidR="00CF133C">
      <w:rPr>
        <w:noProof/>
        <w:sz w:val="16"/>
        <w:szCs w:val="16"/>
      </w:rPr>
      <w:t>2</w:t>
    </w:r>
    <w:r w:rsidRPr="00F52005">
      <w:rPr>
        <w:sz w:val="16"/>
        <w:szCs w:val="16"/>
      </w:rPr>
      <w:fldChar w:fldCharType="end"/>
    </w:r>
  </w:p>
  <w:p w:rsidR="00622C21" w:rsidRPr="00F52005" w:rsidRDefault="00F52005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inline distT="0" distB="0" distL="0" distR="0">
          <wp:extent cx="502920" cy="4191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ole de la confia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363" cy="42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00" w:rsidRDefault="007B3C00">
      <w:pPr>
        <w:spacing w:after="0" w:line="240" w:lineRule="auto"/>
      </w:pPr>
      <w:r>
        <w:separator/>
      </w:r>
    </w:p>
  </w:footnote>
  <w:footnote w:type="continuationSeparator" w:id="0">
    <w:p w:rsidR="007B3C00" w:rsidRDefault="007B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AC4"/>
    <w:multiLevelType w:val="hybridMultilevel"/>
    <w:tmpl w:val="BED0AF1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D5080"/>
    <w:multiLevelType w:val="hybridMultilevel"/>
    <w:tmpl w:val="61EAC9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60A6C"/>
    <w:multiLevelType w:val="hybridMultilevel"/>
    <w:tmpl w:val="04AC8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2FDA"/>
    <w:multiLevelType w:val="multilevel"/>
    <w:tmpl w:val="DDEE8770"/>
    <w:lvl w:ilvl="0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D603B5"/>
    <w:multiLevelType w:val="multilevel"/>
    <w:tmpl w:val="E6329A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D2B4E7C"/>
    <w:multiLevelType w:val="multilevel"/>
    <w:tmpl w:val="4A2E157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122E52"/>
    <w:multiLevelType w:val="hybridMultilevel"/>
    <w:tmpl w:val="6860912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D6121"/>
    <w:multiLevelType w:val="hybridMultilevel"/>
    <w:tmpl w:val="D4D0BDE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1"/>
    <w:rsid w:val="00193FF9"/>
    <w:rsid w:val="00622C21"/>
    <w:rsid w:val="00761B72"/>
    <w:rsid w:val="007B3C00"/>
    <w:rsid w:val="00CF133C"/>
    <w:rsid w:val="00F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E60B"/>
  <w15:docId w15:val="{6A47F7C2-3F2D-4562-810A-CADA05A0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styleId="Lienhypertextesuivivisit">
    <w:name w:val="FollowedHyperlink"/>
    <w:basedOn w:val="Policepardfaut"/>
    <w:rPr>
      <w:color w:val="954F72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table" w:styleId="Grilledutableau">
    <w:name w:val="Table Grid"/>
    <w:basedOn w:val="TableauNormal"/>
    <w:uiPriority w:val="39"/>
    <w:rsid w:val="0019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basedOn w:val="Policepardfaut"/>
    <w:rsid w:val="00193FF9"/>
  </w:style>
  <w:style w:type="character" w:styleId="Lienhypertexte">
    <w:name w:val="Hyperlink"/>
    <w:basedOn w:val="Policepardfaut"/>
    <w:uiPriority w:val="99"/>
    <w:unhideWhenUsed/>
    <w:rsid w:val="00F52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alerie.desbizet@u-cerg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scale.ponte@u-cergy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gouv.fr/pid25535/bulletin_officiel.html?cid_bo=87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cation.gouv.fr/cid73215/le-referentiel-de-competences-des-enseignants-au-bo-du-25-juillet-20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fr/cid52620/mene1013103c.html" TargetMode="External"/><Relationship Id="rId14" Type="http://schemas.openxmlformats.org/officeDocument/2006/relationships/hyperlink" Target="mailto:natacha.espinosa@parisnanterr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Frayssignes</dc:creator>
  <cp:lastModifiedBy>Alexandre Bothua</cp:lastModifiedBy>
  <cp:revision>3</cp:revision>
  <dcterms:created xsi:type="dcterms:W3CDTF">2018-12-03T08:05:00Z</dcterms:created>
  <dcterms:modified xsi:type="dcterms:W3CDTF">2018-12-03T08:05:00Z</dcterms:modified>
</cp:coreProperties>
</file>